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bookmarkStart w:id="0" w:name="_GoBack"/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B8090D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 xml:space="preserve">ИНСТИТУТ ТЕХНОЛОГИЙ (ФИЛИАЛ) </w:t>
      </w:r>
      <w:proofErr w:type="gramStart"/>
      <w:r w:rsidRPr="00B76B8F">
        <w:rPr>
          <w:b/>
          <w:bCs/>
        </w:rPr>
        <w:t>ФЕДЕРАЛЬНОГО</w:t>
      </w:r>
      <w:proofErr w:type="gramEnd"/>
      <w:r w:rsidRPr="00B76B8F">
        <w:rPr>
          <w:b/>
          <w:bCs/>
        </w:rPr>
        <w:t xml:space="preserve"> ГОСУДАРСТВЕННОГО БЮДЖЕТНОГО ОБРАЗОВАТЕЛЬНОГО 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bookmarkEnd w:id="0"/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</w:t>
      </w:r>
      <w:r w:rsidR="00B8090D">
        <w:rPr>
          <w:b/>
          <w:i/>
        </w:rPr>
        <w:t xml:space="preserve"> очн</w:t>
      </w:r>
      <w:proofErr w:type="gramStart"/>
      <w:r w:rsidR="00B8090D">
        <w:rPr>
          <w:b/>
          <w:i/>
        </w:rPr>
        <w:t>о-</w:t>
      </w:r>
      <w:proofErr w:type="gramEnd"/>
      <w:r w:rsidRPr="00B76B8F">
        <w:rPr>
          <w:b/>
          <w:i/>
        </w:rPr>
        <w:t xml:space="preserve">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EC59A0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396362"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523551" w:rsidP="005F61B3">
      <w:pPr>
        <w:jc w:val="center"/>
      </w:pPr>
      <w:r>
        <w:t>2023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2" w:rsidRDefault="00673FC2" w:rsidP="00C235C0">
      <w:r>
        <w:separator/>
      </w:r>
    </w:p>
  </w:endnote>
  <w:endnote w:type="continuationSeparator" w:id="0">
    <w:p w:rsidR="00673FC2" w:rsidRDefault="00673FC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B8090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2" w:rsidRDefault="00673FC2" w:rsidP="00C235C0">
      <w:r>
        <w:separator/>
      </w:r>
    </w:p>
  </w:footnote>
  <w:footnote w:type="continuationSeparator" w:id="0">
    <w:p w:rsidR="00673FC2" w:rsidRDefault="00673FC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23551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73FC2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8090D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59A0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29</cp:revision>
  <dcterms:created xsi:type="dcterms:W3CDTF">2018-11-02T06:31:00Z</dcterms:created>
  <dcterms:modified xsi:type="dcterms:W3CDTF">2024-10-10T06:57:00Z</dcterms:modified>
</cp:coreProperties>
</file>